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7B" w:rsidRPr="00F71E7B" w:rsidRDefault="00F71E7B" w:rsidP="00F71E7B">
      <w:pPr>
        <w:spacing w:after="150" w:line="240" w:lineRule="auto"/>
        <w:jc w:val="center"/>
        <w:outlineLvl w:val="1"/>
        <w:rPr>
          <w:rFonts w:eastAsia="Times New Roman" w:cstheme="minorHAnsi"/>
          <w:b/>
          <w:bCs/>
          <w:sz w:val="32"/>
          <w:szCs w:val="32"/>
          <w:lang w:eastAsia="es-MX"/>
        </w:rPr>
      </w:pPr>
      <w:r w:rsidRPr="00F71E7B">
        <w:rPr>
          <w:rFonts w:eastAsia="Times New Roman" w:cstheme="minorHAnsi"/>
          <w:b/>
          <w:bCs/>
          <w:sz w:val="32"/>
          <w:szCs w:val="32"/>
          <w:lang w:eastAsia="es-MX"/>
        </w:rPr>
        <w:t xml:space="preserve">SSG y </w:t>
      </w:r>
      <w:proofErr w:type="spellStart"/>
      <w:r w:rsidRPr="00F71E7B">
        <w:rPr>
          <w:rFonts w:eastAsia="Times New Roman" w:cstheme="minorHAnsi"/>
          <w:b/>
          <w:bCs/>
          <w:sz w:val="32"/>
          <w:szCs w:val="32"/>
          <w:lang w:eastAsia="es-MX"/>
        </w:rPr>
        <w:t>ONGs</w:t>
      </w:r>
      <w:proofErr w:type="spellEnd"/>
      <w:r w:rsidRPr="00F71E7B">
        <w:rPr>
          <w:rFonts w:eastAsia="Times New Roman" w:cstheme="minorHAnsi"/>
          <w:b/>
          <w:bCs/>
          <w:sz w:val="32"/>
          <w:szCs w:val="32"/>
          <w:lang w:eastAsia="es-MX"/>
        </w:rPr>
        <w:t xml:space="preserve"> </w:t>
      </w:r>
      <w:r>
        <w:rPr>
          <w:rFonts w:eastAsia="Times New Roman" w:cstheme="minorHAnsi"/>
          <w:b/>
          <w:bCs/>
          <w:sz w:val="32"/>
          <w:szCs w:val="32"/>
          <w:lang w:eastAsia="es-MX"/>
        </w:rPr>
        <w:t>ACUERDAN: NO A LA MINERA EN TETELA</w:t>
      </w:r>
    </w:p>
    <w:p w:rsidR="00F71E7B" w:rsidRPr="00F71E7B" w:rsidRDefault="00F71E7B" w:rsidP="00F71E7B">
      <w:pPr>
        <w:spacing w:after="0" w:line="240" w:lineRule="atLeast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:rsidR="00F71E7B" w:rsidRPr="00F71E7B" w:rsidRDefault="00F71E7B" w:rsidP="00F71E7B">
      <w:pPr>
        <w:spacing w:after="0" w:line="240" w:lineRule="atLeast"/>
        <w:rPr>
          <w:rFonts w:eastAsia="Times New Roman" w:cstheme="minorHAnsi"/>
          <w:b/>
          <w:bCs/>
          <w:sz w:val="24"/>
          <w:szCs w:val="24"/>
          <w:lang w:eastAsia="es-MX"/>
        </w:rPr>
      </w:pPr>
      <w:r w:rsidRPr="00F71E7B">
        <w:rPr>
          <w:rFonts w:eastAsia="Times New Roman" w:cstheme="minorHAnsi"/>
          <w:b/>
          <w:bCs/>
          <w:sz w:val="24"/>
          <w:szCs w:val="24"/>
          <w:lang w:eastAsia="es-MX"/>
        </w:rPr>
        <w:t xml:space="preserve">Redacción, Nueva Generación   </w:t>
      </w:r>
      <w:r>
        <w:rPr>
          <w:rFonts w:eastAsia="Times New Roman" w:cstheme="minorHAnsi"/>
          <w:b/>
          <w:bCs/>
          <w:sz w:val="24"/>
          <w:szCs w:val="24"/>
          <w:lang w:eastAsia="es-MX"/>
        </w:rPr>
        <w:t>Puebla</w:t>
      </w:r>
      <w:r w:rsidRPr="00F71E7B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</w:t>
      </w:r>
      <w:bookmarkStart w:id="0" w:name="_GoBack"/>
      <w:bookmarkEnd w:id="0"/>
      <w:r w:rsidRPr="00F71E7B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          </w:t>
      </w:r>
      <w:r>
        <w:rPr>
          <w:rFonts w:eastAsia="Times New Roman" w:cstheme="minorHAnsi"/>
          <w:b/>
          <w:bCs/>
          <w:sz w:val="24"/>
          <w:szCs w:val="24"/>
          <w:lang w:eastAsia="es-MX"/>
        </w:rPr>
        <w:t xml:space="preserve">                            </w:t>
      </w:r>
      <w:r w:rsidRPr="00F71E7B">
        <w:rPr>
          <w:rFonts w:eastAsia="Times New Roman" w:cstheme="minorHAnsi"/>
          <w:b/>
          <w:bCs/>
          <w:sz w:val="24"/>
          <w:szCs w:val="24"/>
          <w:lang w:eastAsia="es-MX"/>
        </w:rPr>
        <w:t xml:space="preserve">    26 de Noviembre de 2012</w:t>
      </w:r>
    </w:p>
    <w:p w:rsidR="00F71E7B" w:rsidRPr="00F71E7B" w:rsidRDefault="00F71E7B" w:rsidP="00F71E7B">
      <w:pPr>
        <w:spacing w:after="0" w:line="240" w:lineRule="atLeast"/>
        <w:rPr>
          <w:rFonts w:eastAsia="Times New Roman" w:cstheme="minorHAnsi"/>
          <w:b/>
          <w:bCs/>
          <w:sz w:val="24"/>
          <w:szCs w:val="24"/>
          <w:lang w:eastAsia="es-MX"/>
        </w:rPr>
      </w:pP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La Secretaría General de Gobierno (SGG) del gobierno del estado pactó con la Asociación Civil “Tétela hacia el Futuro” notificar a la empresa minera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– propiedad del empresario Carlos Slim – que no se autoriza la extracción de oro en el Cerro Espejeras, perteneciente a la comunidad de La Cañada en el municipio de Tétela de Ocampo.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>Con el acuerdo anterior se cancelaría de manera total el proyecto minero al que se opusieron habitantes y campesinos de la zona, así como ambientalistas, académicos y comunicadores.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>El jueves 22 de noviembre en las oficinas de la Secretaría General del Gobierno, que encabeza Fernando Manzanilla Prieto,  se acordó, entre autoridades y sociedad civil, “decir de manera definitiva "NO" a la instalación de la Mina”.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Ante la SGG los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tetelenses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y opositores del proyecto minero se expusieron argumentos jurídicos, sociales y políticos, sobre la peligrosidad de la extracción de oro a cielo abierto por sus efectos negativos en la salud, y el daño ambiental irreversible.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A esta reunión asistieron además autoridades municipales y federales que respaldan la negativa para que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continúe trabajando.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Los argumentos para echar abajo el proyecto de la minera propiedad del hombre más rico del mundo se sustentaron en investigaciones e información de la Comisión Nacional para el Conocimiento y Uso de la Biodiversidad (CONABIO),  científicos extranjeros,  en particular de biólogos y maestros ingleses,  y de la mexicana, Alicia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Mastretta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>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Otros que aportaron argumentos en contra de la minera fueron  Mari Carmen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Larracilla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>, miembros de "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Tetela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hacia el Futuro A.C.", de su presidente, Don Germán Romero;  del Presidente Municipal de Tétela,   de Sergio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Mastretta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por parte de Puebla Verde A.C., así como  de la comunidad universitaria y científica del país, en particular de la UNAM, la BUAP y la Universidad Ibero Americana Golfo Centro.</w:t>
      </w:r>
    </w:p>
    <w:p w:rsidR="00F71E7B" w:rsidRPr="00F71E7B" w:rsidRDefault="00F71E7B" w:rsidP="00F71E7B">
      <w:pPr>
        <w:spacing w:after="15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>Se agregaron a la lucha opositora a la mina: el comunicador Fernando Canales, así como Arturo Alcalde, Ana Lydia Flores, Juan Salazar, María Eugenia Sánchez, Raúl Ibarra, Georgette Rebollo, José Lazcano y Juan Carlos Peláez.</w:t>
      </w:r>
    </w:p>
    <w:p w:rsidR="00F71E7B" w:rsidRPr="00F71E7B" w:rsidRDefault="00F71E7B" w:rsidP="00F71E7B">
      <w:pPr>
        <w:spacing w:after="0" w:line="240" w:lineRule="atLeast"/>
        <w:rPr>
          <w:rFonts w:eastAsia="Times New Roman" w:cstheme="minorHAnsi"/>
          <w:sz w:val="24"/>
          <w:szCs w:val="24"/>
          <w:lang w:eastAsia="es-MX"/>
        </w:rPr>
      </w:pPr>
      <w:r w:rsidRPr="00F71E7B">
        <w:rPr>
          <w:rFonts w:eastAsia="Times New Roman" w:cstheme="minorHAnsi"/>
          <w:sz w:val="24"/>
          <w:szCs w:val="24"/>
          <w:lang w:eastAsia="es-MX"/>
        </w:rPr>
        <w:t xml:space="preserve">Cabe mencionar que la intervención de la Secretaría General de Gobierno (SGG) en el caso de la mina de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Tetela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de Ocampo se da luego de más de ocho meses de gestiones, y a una reunión fallida con el secretario de Desarrollo Económico (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Secotrade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), Pablo Rodríguez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Regordosa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quien – según medios de comunicación – justificó la intervención de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>, y trato de convencer a los vecinos de la importancia de la inversión a nivel regional.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 xml:space="preserve">Vale pena señalar que antes, en agosto de 2012, la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ya había rechazado el informe preventivo presentado por la minera para continuar los trabajos en Espejeras, por </w:t>
      </w:r>
      <w:r w:rsidRPr="00F71E7B">
        <w:rPr>
          <w:rFonts w:eastAsia="Times New Roman" w:cstheme="minorHAnsi"/>
          <w:sz w:val="24"/>
          <w:szCs w:val="24"/>
          <w:lang w:eastAsia="es-MX"/>
        </w:rPr>
        <w:lastRenderedPageBreak/>
        <w:t>lo que la dependencia del gobierno federal prohibió la exploración en un yacimiento de oro en esta población de la Sierra Norte de Puebla.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La Secretaría de Medio Ambiente y Recursos Naturales (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) consideró que el impacto y la superficie para la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barrenación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es superior a lo permitido en un trabajo de exploración lo que viola la norma oficial mexicana NOM-120-SEMARNAT-2011, pero además abre la posibilidad de daños ecológicos a tres regiones terrestres prioritarias y un área de conservación de aves.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 xml:space="preserve">La Dirección General de Impacto y Riesgo Ambiental (DGIRA) de la Subsecretaria de Gestión para la Protección Ambiental de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  publicó en su gaceta que resolvió no aprobar el Informe Preventivo del Proyecto “Exploración Minera Espejeras”, presentado por la razón social “Minera Espejeras, S.A. De C.V., integrante de Grupo Minera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>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 xml:space="preserve">El resolutivo, del que obtuvo una copia NG Puebla, folio S.G.P.A./D.G.I.R.A./D.G./6474 y fechado el 17 de agosto en México, Distrito Federal, precisa que si la empresa desea continuar con el proyecto forzosamente deberá solicitar a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el análisis y evaluación de la manifestación de Impacto Ambiental (MIA).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 xml:space="preserve">Advierte también que en tanto no obtenga la autorización arriba señalada,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Frisco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– propiedad de Slim Helú- “no podrá iniciar obras y actividades de exploración”, y en caso de desobedecer se hará acreedora a sanciones previstas en la ley general de Equilibrio Ecológico y Protección al Ambiente (LGEEPA).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El documento en la página 10, de la sección “Resuelve”, en su índice segundo establece que el proyecto minero “no se ajusta a lo dispuesto por los artículos 31 fracción I de la LGEEPA y 29 fracción I del REIA”.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> </w:t>
      </w:r>
      <w:r w:rsidRPr="00F71E7B">
        <w:rPr>
          <w:rFonts w:eastAsia="Times New Roman" w:cstheme="minorHAnsi"/>
          <w:sz w:val="24"/>
          <w:szCs w:val="24"/>
          <w:lang w:eastAsia="es-MX"/>
        </w:rPr>
        <w:br/>
        <w:t xml:space="preserve">Con el argumento anterior justifica que </w:t>
      </w:r>
      <w:proofErr w:type="spellStart"/>
      <w:r w:rsidRPr="00F71E7B">
        <w:rPr>
          <w:rFonts w:eastAsia="Times New Roman" w:cstheme="minorHAnsi"/>
          <w:sz w:val="24"/>
          <w:szCs w:val="24"/>
          <w:lang w:eastAsia="es-MX"/>
        </w:rPr>
        <w:t>Semarnat</w:t>
      </w:r>
      <w:proofErr w:type="spellEnd"/>
      <w:r w:rsidRPr="00F71E7B">
        <w:rPr>
          <w:rFonts w:eastAsia="Times New Roman" w:cstheme="minorHAnsi"/>
          <w:sz w:val="24"/>
          <w:szCs w:val="24"/>
          <w:lang w:eastAsia="es-MX"/>
        </w:rPr>
        <w:t xml:space="preserve"> aplicará lo establecido en el artículo 33 fracción II del REIA por lo cual la compañía deberá presentar a la DGIRA una Manifestación de Impacto Ambiental en caso de persistir en el interés de desarrollar el proyecto.</w:t>
      </w:r>
    </w:p>
    <w:p w:rsidR="0031439D" w:rsidRPr="00F71E7B" w:rsidRDefault="0031439D">
      <w:pPr>
        <w:rPr>
          <w:rFonts w:cstheme="minorHAnsi"/>
          <w:sz w:val="24"/>
          <w:szCs w:val="24"/>
        </w:rPr>
      </w:pPr>
    </w:p>
    <w:sectPr w:rsidR="0031439D" w:rsidRPr="00F71E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7B"/>
    <w:rsid w:val="00052026"/>
    <w:rsid w:val="00086333"/>
    <w:rsid w:val="0013123B"/>
    <w:rsid w:val="0031439D"/>
    <w:rsid w:val="003D6ABD"/>
    <w:rsid w:val="004A0E17"/>
    <w:rsid w:val="00652EC7"/>
    <w:rsid w:val="006B4EC4"/>
    <w:rsid w:val="00805BF1"/>
    <w:rsid w:val="00822BC4"/>
    <w:rsid w:val="009B5867"/>
    <w:rsid w:val="00A80B0E"/>
    <w:rsid w:val="00F71E7B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7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71E7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F71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F71E7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5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2013-02-11T17:13:00Z</dcterms:created>
  <dcterms:modified xsi:type="dcterms:W3CDTF">2013-02-11T17:20:00Z</dcterms:modified>
</cp:coreProperties>
</file>